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ra-4"/>
    <w:p>
      <w:pPr>
        <w:pStyle w:val="Heading1"/>
      </w:pPr>
      <w:r>
        <w:t xml:space="preserve">Homiletics Analysis: Ezra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Ezra 1–6:</w:t>
      </w:r>
      <w:r>
        <w:t xml:space="preserve"> </w:t>
      </w:r>
      <w:r>
        <w:t xml:space="preserve">Ezra 4 sits within the first major movement of the book (chapters 1–6), which narrates the return of the first exiles under Zerubbabel and the reconstruction of the temple in Jerusalem. The arc of chapters 1–6 moves from divine decree and joyful return (ch. 1–2), to the laying of the foundation amid tears and praise (ch. 3), to sustained opposition and eventual completion of the temple under Darius (ch. 5–6). Chapter 4 is the hinge — it is the passage that explains why more than fifteen years elapsed between the laying of the foundation (536 BC) and the resumption of building (520 BC). The chapter is not an interruption of the narrative; it is the narrative’s theological center of gravity for the entire first unit.</w:t>
      </w:r>
    </w:p>
    <w:p>
      <w:pPr>
        <w:pStyle w:val="BodyText"/>
      </w:pPr>
      <w:r>
        <w:rPr>
          <w:b/>
          <w:bCs/>
        </w:rPr>
        <w:t xml:space="preserve">This Text — Content:</w:t>
      </w:r>
      <w:r>
        <w:t xml:space="preserve"> </w:t>
      </w:r>
      <w:r>
        <w:t xml:space="preserve">Ezra 4 opens with an apparently cooperative offer from the</w:t>
      </w:r>
      <w:r>
        <w:t xml:space="preserve"> </w:t>
      </w:r>
      <w:r>
        <w:t xml:space="preserve">“adversaries of Judah and Benjamin”</w:t>
      </w:r>
      <w:r>
        <w:t xml:space="preserve"> </w:t>
      </w:r>
      <w:r>
        <w:t xml:space="preserve">to join in the rebuilding effort (vv. 1–2). Zerubbabel, Jeshua, and the heads of the families refuse the offer categorically, citing the exclusive commission given by Cyrus (vv. 3). The rejected peoples immediately shift from feigned partnership to active opposition: they discourage the people, hire counselors against them, and frustrate the work throughout the reign of Cyrus and into the reign of Darius (vv. 4–5). The chapter then inserts what appears to be a parenthetical — or a deliberately placed editorial digression — describing a later letter written to Artaxerxes (vv. 6–16) and the king’s reply ordering a halt to construction in Jerusalem (vv. 17–22). This later episode, which concerns the city walls rather than the temple and belongs to a period decades after the temple’s completion, is placed here by the editor not chronologically but</w:t>
      </w:r>
      <w:r>
        <w:t xml:space="preserve"> </w:t>
      </w:r>
      <w:r>
        <w:rPr>
          <w:i/>
          <w:iCs/>
        </w:rPr>
        <w:t xml:space="preserve">theologically</w:t>
      </w:r>
      <w:r>
        <w:t xml:space="preserve">: to show that this pattern of opposition — infiltration, rejection, accusation before pagan powers, imperial decree — is not a one-time event but the recurring strategy of the enemies of God’s work. The chapter closes with the halt to construction and the community sitting in discouragement (vv. 23–24).</w:t>
      </w:r>
    </w:p>
    <w:p>
      <w:pPr>
        <w:pStyle w:val="BodyText"/>
      </w:pPr>
      <w:r>
        <w:rPr>
          <w:b/>
          <w:bCs/>
        </w:rPr>
        <w:t xml:space="preserve">This Text — Intent:</w:t>
      </w:r>
      <w:r>
        <w:t xml:space="preserve"> </w:t>
      </w:r>
      <w:r>
        <w:t xml:space="preserve">God is seeking to prepare His people for the experience of sustained, organized opposition to His work — and to do so without disillusionment. The intent is not primarily to explain a historical gap or to document Persian administrative correspondence. The intent is to name the pattern: when God’s people engage in God’s work, the enemies of that work will not sleep, will employ every available strategy, and will sometimes succeed in halting the work for seasons. The chapter does not resolve to triumph — it ends in a stopped work. But it frames that stopped work within the larger narrative where God’s purpose will not ultimately be frustrated. God is calling His people to faithful, clear-eyed perseverance — to recognize opposition for what it is, to refuse compromise at the point of identity, and to trust that a halted season is not a defeated purpose.</w:t>
      </w:r>
    </w:p>
    <w:p>
      <w:r>
        <w:pict>
          <v:rect style="width:0;height:1.5pt" o:hralign="center" o:hrstd="t" o:hr="t"/>
        </w:pict>
      </w:r>
    </w:p>
    <w:p>
      <w:pPr>
        <w:pStyle w:val="FirstParagraph"/>
      </w:pPr>
      <w:r>
        <w:rPr>
          <w:b/>
          <w:bCs/>
        </w:rPr>
        <w:t xml:space="preserve">Subject Sentence:</w:t>
      </w:r>
      <w:r>
        <w:t xml:space="preserve"> </w:t>
      </w:r>
      <w:r>
        <w:t xml:space="preserve">Organized opposition to God’s rebuilding work is real, persistent, and strategically designed to discourage and stop it.</w:t>
      </w:r>
    </w:p>
    <w:p>
      <w:r>
        <w:pict>
          <v:rect style="width:0;height:1.5pt" o:hralign="center" o:hrstd="t" o:hr="t"/>
        </w:pict>
      </w:r>
    </w:p>
    <w:p>
      <w:pPr>
        <w:pStyle w:val="FirstParagraph"/>
      </w:pPr>
      <w:r>
        <w:rPr>
          <w:b/>
          <w:bCs/>
        </w:rPr>
        <w:t xml:space="preserve">Primary Claim:</w:t>
      </w:r>
      <w:r>
        <w:t xml:space="preserve"> </w:t>
      </w:r>
      <w:r>
        <w:t xml:space="preserve">God is preparing His people to recognize, refuse, and endure opposition to His work — because the enemy’s strategy has always been to compromise identity first, and when that fails, to frustrate by external force; but neither corruption nor opposition can ultimately cancel what God has commissioned.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“adversaries”</w:t>
      </w:r>
      <w:r>
        <w:rPr>
          <w:b/>
          <w:bCs/>
        </w:rPr>
        <w:t xml:space="preserve"> </w:t>
      </w:r>
      <w:r>
        <w:rPr>
          <w:b/>
          <w:bCs/>
        </w:rPr>
        <w:t xml:space="preserve">offer (vv. 1–3) — partnership or infiltration?</w:t>
      </w:r>
      <w:r>
        <w:t xml:space="preserve"> </w:t>
      </w:r>
      <w:r>
        <w:t xml:space="preserve">The most significant interpretive issue in the chapter is whether Zerubbabel’s refusal was godly discernment or ungodly exclusivism. Some readers — particularly those reading through a missional or ecumenical lens — suggest the refusal was unnecessarily rigid, that Zerubbabel missed an opportunity for broader participation, and that the resulting opposition was partly a consequence of his harshness. This reading must be</w:t>
      </w:r>
      <w:r>
        <w:t xml:space="preserve"> </w:t>
      </w:r>
      <w:r>
        <w:rPr>
          <w:i/>
          <w:iCs/>
        </w:rPr>
        <w:t xml:space="preserve">refuted</w:t>
      </w:r>
      <w:r>
        <w:t xml:space="preserve">. The text identifies these people explicitly as</w:t>
      </w:r>
      <w:r>
        <w:t xml:space="preserve"> </w:t>
      </w:r>
      <w:r>
        <w:t xml:space="preserve">“adversaries”</w:t>
      </w:r>
      <w:r>
        <w:t xml:space="preserve"> </w:t>
      </w:r>
      <w:r>
        <w:t xml:space="preserve">(</w:t>
      </w:r>
      <w:r>
        <w:rPr>
          <w:i/>
          <w:iCs/>
        </w:rPr>
        <w:t xml:space="preserve">tsarim</w:t>
      </w:r>
      <w:r>
        <w:t xml:space="preserve">) before any dialogue is reported — the narrator has already rendered the verdict. Their self-description (</w:t>
      </w:r>
      <w:r>
        <w:t xml:space="preserve">“we have been sacrificing to your God since the days of Esarhaddon”</w:t>
      </w:r>
      <w:r>
        <w:t xml:space="preserve">) aligns with 2 Kings 17:24–41, which describes the syncretistic worship imported by the Assyrian resettlement program: they feared Yahweh while serving their own gods. The commission from Cyrus was to the returned exiles specifically; the work of rebuilding the temple was bound up with the restoration of the covenant community as a distinct, defined people. To have accepted the offer would have been to blur the very identity the return was meant to reconstitute. Zerubbabel’s answer is not ethnic pride — it is covenantal fidelity. The Reformed reading recognizes that the church’s distinct identity is not a cultural artifact to be negotiated away but a theological reality to be guarded.</w:t>
      </w:r>
    </w:p>
    <w:p>
      <w:pPr>
        <w:pStyle w:val="BodyText"/>
      </w:pPr>
      <w:r>
        <w:rPr>
          <w:b/>
          <w:bCs/>
        </w:rPr>
        <w:t xml:space="preserve">The chronological digression (vv. 6–23) — editorial confusion or theological design?</w:t>
      </w:r>
      <w:r>
        <w:t xml:space="preserve"> </w:t>
      </w:r>
      <w:r>
        <w:t xml:space="preserve">Critical scholars have frequently identified vv. 6–23 as either a misplaced document or evidence of editorial carelessness, since it describes events under Artaxerxes I (mid-fifth century BC), well after the temple’s completion under Darius. This reading should be</w:t>
      </w:r>
      <w:r>
        <w:t xml:space="preserve"> </w:t>
      </w:r>
      <w:r>
        <w:rPr>
          <w:i/>
          <w:iCs/>
        </w:rPr>
        <w:t xml:space="preserve">qualified at the interpretive level and refuted at the homiletical level</w:t>
      </w:r>
      <w:r>
        <w:t xml:space="preserve">. There is no textual evidence of accidental displacement. The editor of Ezra is demonstrably sophisticated — the book moves between Hebrew and Aramaic, integrates official correspondence with narrative, and is clearly structured. The placement of the Artaxerxes material here is best understood as a deliberate rhetorical and theological move: the editor is establishing</w:t>
      </w:r>
      <w:r>
        <w:t xml:space="preserve"> </w:t>
      </w:r>
      <w:r>
        <w:rPr>
          <w:i/>
          <w:iCs/>
        </w:rPr>
        <w:t xml:space="preserve">pattern</w:t>
      </w:r>
      <w:r>
        <w:t xml:space="preserve">, not timeline. The opposition is not a single incident — it is a recurring, multigenerational strategy. The editor is saying:</w:t>
      </w:r>
      <w:r>
        <w:t xml:space="preserve"> </w:t>
      </w:r>
      <w:r>
        <w:t xml:space="preserve">“This is what they do. They did it then. They did it again. And again.”</w:t>
      </w:r>
      <w:r>
        <w:t xml:space="preserve"> </w:t>
      </w:r>
      <w:r>
        <w:t xml:space="preserve">Far from confusion, this is the text’s most powerful move. The Reformed reading attends to authorial/editorial intent and refuses to reduce the text to its source documents.</w:t>
      </w:r>
    </w:p>
    <w:p>
      <w:pPr>
        <w:pStyle w:val="BodyText"/>
      </w:pPr>
      <w:r>
        <w:rPr>
          <w:b/>
          <w:bCs/>
        </w:rPr>
        <w:t xml:space="preserve">The silence of God in the chapter:</w:t>
      </w:r>
      <w:r>
        <w:t xml:space="preserve"> </w:t>
      </w:r>
      <w:r>
        <w:t xml:space="preserve">One hermeneutically significant feature of Ezra 4 is that God does not speak, intervene, or respond within the chapter itself. The work stops, the enemies succeed (temporarily), and the chapter ends in suspension. Some readers are troubled by this and import resolution prematurely — preaching the chapter as if it already contains the victory of chapters 5–6. This is a</w:t>
      </w:r>
      <w:r>
        <w:t xml:space="preserve"> </w:t>
      </w:r>
      <w:r>
        <w:rPr>
          <w:i/>
          <w:iCs/>
        </w:rPr>
        <w:t xml:space="preserve">homiletical</w:t>
      </w:r>
      <w:r>
        <w:t xml:space="preserve"> </w:t>
      </w:r>
      <w:r>
        <w:t xml:space="preserve">error, not an interpretive one: it flattens the chapter’s own emotional and theological texture. The chapter is meant to sit in the reader’s chest as an unresolved weight. Its resolution comes — but not here. Exposition that rushes to resolution robs the text of its pastoral power for believers in the middle of their own stopped seasons.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Kings 17:24–41</w:t>
      </w:r>
      <w:r>
        <w:t xml:space="preserve"> </w:t>
      </w:r>
      <w:r>
        <w:t xml:space="preserve">— Documents the origin of the mixed-worship population in Samaria, providing the backstory for the</w:t>
      </w:r>
      <w:r>
        <w:t xml:space="preserve"> </w:t>
      </w:r>
      <w:r>
        <w:t xml:space="preserve">“adversaries”</w:t>
      </w:r>
      <w:r>
        <w:t xml:space="preserve"> </w:t>
      </w:r>
      <w:r>
        <w:t xml:space="preserve">in Ezra 4 and validating Zerubbabel’s refusal as covenantally grounded, not tribally motivated.</w:t>
      </w:r>
    </w:p>
    <w:p>
      <w:pPr>
        <w:numPr>
          <w:ilvl w:val="0"/>
          <w:numId w:val="1001"/>
        </w:numPr>
      </w:pPr>
      <w:r>
        <w:rPr>
          <w:b/>
          <w:bCs/>
        </w:rPr>
        <w:t xml:space="preserve">Nehemiah 4:1–23</w:t>
      </w:r>
      <w:r>
        <w:t xml:space="preserve"> </w:t>
      </w:r>
      <w:r>
        <w:t xml:space="preserve">— Parallels the pattern exactly in the next generation’s rebuilding effort: the same progression from mockery to threat to discouragement to prayer to watchfulness, demonstrating that Ezra 4’s pattern is not exceptional but normative for God’s rebuilding work.</w:t>
      </w:r>
    </w:p>
    <w:p>
      <w:pPr>
        <w:numPr>
          <w:ilvl w:val="0"/>
          <w:numId w:val="1001"/>
        </w:numPr>
      </w:pPr>
      <w:r>
        <w:rPr>
          <w:b/>
          <w:bCs/>
        </w:rPr>
        <w:t xml:space="preserve">Matthew 13:24–30 (Parable of the Tares)</w:t>
      </w:r>
      <w:r>
        <w:t xml:space="preserve"> </w:t>
      </w:r>
      <w:r>
        <w:t xml:space="preserve">— Christ teaches that opposition to God’s kingdom work is not accidental but planted — an enemy has done this. The enemy’s strategy in Ezra 4 finds its interpretive frame in Jesus’ own teaching about the nature of kingdom opposition.</w:t>
      </w:r>
    </w:p>
    <w:p>
      <w:pPr>
        <w:numPr>
          <w:ilvl w:val="0"/>
          <w:numId w:val="1001"/>
        </w:numPr>
      </w:pPr>
      <w:r>
        <w:rPr>
          <w:b/>
          <w:bCs/>
        </w:rPr>
        <w:t xml:space="preserve">Acts 4:23–31</w:t>
      </w:r>
      <w:r>
        <w:t xml:space="preserve"> </w:t>
      </w:r>
      <w:r>
        <w:t xml:space="preserve">— The early church, facing organized opposition from Jerusalem’s authorities, prays Psalm 2 and is filled afresh with the Spirit. The pattern of opposition followed by Spirit-empowered perseverance is the New Testament fulfillment of the Ezra 4 dynamic.</w:t>
      </w:r>
    </w:p>
    <w:p>
      <w:pPr>
        <w:numPr>
          <w:ilvl w:val="0"/>
          <w:numId w:val="1001"/>
        </w:numPr>
      </w:pPr>
      <w:r>
        <w:rPr>
          <w:b/>
          <w:bCs/>
        </w:rPr>
        <w:t xml:space="preserve">Revelation 12:13–17</w:t>
      </w:r>
      <w:r>
        <w:t xml:space="preserve"> </w:t>
      </w:r>
      <w:r>
        <w:t xml:space="preserve">— The dragon’s war against</w:t>
      </w:r>
      <w:r>
        <w:t xml:space="preserve"> </w:t>
      </w:r>
      <w:r>
        <w:t xml:space="preserve">“the rest of her offspring”</w:t>
      </w:r>
      <w:r>
        <w:t xml:space="preserve"> </w:t>
      </w:r>
      <w:r>
        <w:t xml:space="preserve">shows that organized, sustained opposition to God’s covenant people is cosmic in origin and eschatological in scope — Ezra 4 is one chapter in a much longer story of the serpent’s strategy against God’s rebuilding purpose.</w:t>
      </w:r>
    </w:p>
    <w:p>
      <w:r>
        <w:pict>
          <v:rect style="width:0;height:1.5pt" o:hralign="center" o:hrstd="t" o:hr="t"/>
        </w:pict>
      </w:r>
    </w:p>
    <w:p>
      <w:pPr>
        <w:pStyle w:val="FirstParagraph"/>
      </w:pPr>
      <w:r>
        <w:rPr>
          <w:b/>
          <w:bCs/>
        </w:rPr>
        <w:t xml:space="preserve">Aim:</w:t>
      </w:r>
      <w:r>
        <w:t xml:space="preserve"> </w:t>
      </w:r>
      <w:r>
        <w:t xml:space="preserve">To equip believers to recognize opposition to God’s work for what it is — strategic, persistent, and ultimately bounded — so they neither capitulate through compromise nor collapse through discouragement.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4:1–2</w:t>
            </w:r>
          </w:p>
        </w:tc>
        <w:tc>
          <w:tcPr/>
          <w:p>
            <w:pPr>
              <w:pStyle w:val="Compact"/>
            </w:pPr>
            <w:r>
              <w:t xml:space="preserve">Adversaries of Judah and Benjamin approach Zerubbabel and the heads of families with an offer to participate in rebuilding, claiming they have worshipped Yahweh since Esarhaddon’s resettlement.</w:t>
            </w:r>
          </w:p>
        </w:tc>
        <w:tc>
          <w:tcPr/>
          <w:p>
            <w:pPr>
              <w:pStyle w:val="Compact"/>
            </w:pPr>
            <w:r>
              <w:t xml:space="preserve">The narrator calls them</w:t>
            </w:r>
            <w:r>
              <w:t xml:space="preserve"> </w:t>
            </w:r>
            <w:r>
              <w:t xml:space="preserve">“adversaries”</w:t>
            </w:r>
            <w:r>
              <w:t xml:space="preserve"> </w:t>
            </w:r>
            <w:r>
              <w:t xml:space="preserve">before their speech — the reader knows their intent before Zerubbabel does. Their claim to shared worship is the infiltration strategy.</w:t>
            </w:r>
          </w:p>
        </w:tc>
      </w:tr>
      <w:tr>
        <w:tc>
          <w:tcPr/>
          <w:p>
            <w:pPr>
              <w:pStyle w:val="Compact"/>
            </w:pPr>
            <w:r>
              <w:t xml:space="preserve">4:3</w:t>
            </w:r>
          </w:p>
        </w:tc>
        <w:tc>
          <w:tcPr/>
          <w:p>
            <w:pPr>
              <w:pStyle w:val="Compact"/>
            </w:pPr>
            <w:r>
              <w:t xml:space="preserve">Zerubbabel, Jeshua, and the family heads refuse categorically:</w:t>
            </w:r>
            <w:r>
              <w:t xml:space="preserve"> </w:t>
            </w:r>
            <w:r>
              <w:t xml:space="preserve">“You have nothing to do with us in building a house to our God; but we alone will build to the LORD, the God of Israel, as King Cyrus the king of Persia has commanded us.”</w:t>
            </w:r>
          </w:p>
        </w:tc>
        <w:tc>
          <w:tcPr/>
          <w:p>
            <w:pPr>
              <w:pStyle w:val="Compact"/>
            </w:pPr>
            <w:r>
              <w:t xml:space="preserve">The refusal is covenantal and commissioned — not ethnic. It appeals to both divine identity (</w:t>
            </w:r>
            <w:r>
              <w:t xml:space="preserve">“our God”</w:t>
            </w:r>
            <w:r>
              <w:t xml:space="preserve">) and royal commission (Cyrus). The boundary is theological, not tribal.</w:t>
            </w:r>
          </w:p>
        </w:tc>
      </w:tr>
      <w:tr>
        <w:tc>
          <w:tcPr/>
          <w:p>
            <w:pPr>
              <w:pStyle w:val="Compact"/>
            </w:pPr>
            <w:r>
              <w:t xml:space="preserve">4:4–5</w:t>
            </w:r>
          </w:p>
        </w:tc>
        <w:tc>
          <w:tcPr/>
          <w:p>
            <w:pPr>
              <w:pStyle w:val="Compact"/>
            </w:pPr>
            <w:r>
              <w:t xml:space="preserve">Immediately upon refusal, the people of the land begin systematic opposition: discouraging the builders, hiring counselors to frustrate their purpose before the Persian court throughout the reign of Cyrus and into the reign of Darius.</w:t>
            </w:r>
          </w:p>
        </w:tc>
        <w:tc>
          <w:tcPr/>
          <w:p>
            <w:pPr>
              <w:pStyle w:val="Compact"/>
            </w:pPr>
            <w:r>
              <w:t xml:space="preserve">The shift from feigned cooperation to active opposition is immediate — confirming the narrator’s identification of them as adversaries.</w:t>
            </w:r>
            <w:r>
              <w:t xml:space="preserve"> </w:t>
            </w:r>
            <w:r>
              <w:t xml:space="preserve">“Discouraging”</w:t>
            </w:r>
            <w:r>
              <w:t xml:space="preserve"> </w:t>
            </w:r>
            <w:r>
              <w:t xml:space="preserve">(</w:t>
            </w:r>
            <w:r>
              <w:rPr>
                <w:i/>
                <w:iCs/>
              </w:rPr>
              <w:t xml:space="preserve">m’rapîm</w:t>
            </w:r>
            <w:r>
              <w:t xml:space="preserve">) means literally weakening the hands — morale warfare.</w:t>
            </w:r>
          </w:p>
        </w:tc>
      </w:tr>
      <w:tr>
        <w:tc>
          <w:tcPr/>
          <w:p>
            <w:pPr>
              <w:pStyle w:val="Compact"/>
            </w:pPr>
            <w:r>
              <w:t xml:space="preserve">4:6</w:t>
            </w:r>
          </w:p>
        </w:tc>
        <w:tc>
          <w:tcPr/>
          <w:p>
            <w:pPr>
              <w:pStyle w:val="Compact"/>
            </w:pPr>
            <w:r>
              <w:t xml:space="preserve">Editorial note: at the beginning of Ahasuerus’ reign, an accusation was written against the inhabitants of Judah and Jerusalem.</w:t>
            </w:r>
          </w:p>
        </w:tc>
        <w:tc>
          <w:tcPr/>
          <w:p>
            <w:pPr>
              <w:pStyle w:val="Compact"/>
            </w:pPr>
            <w:r>
              <w:t xml:space="preserve">Chronological jump forward, past the temple’s completion under Darius, into the mid-fifth century. This begins the digression establishing the</w:t>
            </w:r>
            <w:r>
              <w:t xml:space="preserve"> </w:t>
            </w:r>
            <w:r>
              <w:rPr>
                <w:i/>
                <w:iCs/>
              </w:rPr>
              <w:t xml:space="preserve">pattern</w:t>
            </w:r>
            <w:r>
              <w:t xml:space="preserve"> </w:t>
            </w:r>
            <w:r>
              <w:t xml:space="preserve">of opposition across generations.</w:t>
            </w:r>
          </w:p>
        </w:tc>
      </w:tr>
      <w:tr>
        <w:tc>
          <w:tcPr/>
          <w:p>
            <w:pPr>
              <w:pStyle w:val="Compact"/>
            </w:pPr>
            <w:r>
              <w:t xml:space="preserve">4:7–10</w:t>
            </w:r>
          </w:p>
        </w:tc>
        <w:tc>
          <w:tcPr/>
          <w:p>
            <w:pPr>
              <w:pStyle w:val="Compact"/>
            </w:pPr>
            <w:r>
              <w:t xml:space="preserve">In the days of Artaxerxes, Bishlam, Mithredath, Tabeel, Rehum, and Shimshai write against Jerusalem. The letter is written in Aramaic.</w:t>
            </w:r>
          </w:p>
        </w:tc>
        <w:tc>
          <w:tcPr/>
          <w:p>
            <w:pPr>
              <w:pStyle w:val="Compact"/>
            </w:pPr>
            <w:r>
              <w:t xml:space="preserve">The opposition is coordinated, multi-ethnic, and formally documented — it employs the mechanisms of Persian imperial administration. The switch to Aramaic (the imperial language) signals official correspondence begins here.</w:t>
            </w:r>
          </w:p>
        </w:tc>
      </w:tr>
      <w:tr>
        <w:tc>
          <w:tcPr/>
          <w:p>
            <w:pPr>
              <w:pStyle w:val="Compact"/>
            </w:pPr>
            <w:r>
              <w:t xml:space="preserve">4:11–16</w:t>
            </w:r>
          </w:p>
        </w:tc>
        <w:tc>
          <w:tcPr/>
          <w:p>
            <w:pPr>
              <w:pStyle w:val="Compact"/>
            </w:pPr>
            <w:r>
              <w:t xml:space="preserve">The letter to Artaxerxes: the signatories identify themselves as loyal servants of the king, characterize Jerusalem as a historically rebellious city that will not pay taxes or tribute, warn that its rebuilding will result in loss of revenue and territory, and urge the king to consult the royal archives.</w:t>
            </w:r>
          </w:p>
        </w:tc>
        <w:tc>
          <w:tcPr/>
          <w:p>
            <w:pPr>
              <w:pStyle w:val="Compact"/>
            </w:pPr>
            <w:r>
              <w:t xml:space="preserve">The accusation is clever — it avoids religious language entirely and frames the issue in terms of Persian imperial interest. It weaponizes bureaucracy and appeals to the king’s financial self-interest.</w:t>
            </w:r>
          </w:p>
        </w:tc>
      </w:tr>
      <w:tr>
        <w:tc>
          <w:tcPr/>
          <w:p>
            <w:pPr>
              <w:pStyle w:val="Compact"/>
            </w:pPr>
            <w:r>
              <w:t xml:space="preserve">4:17–20</w:t>
            </w:r>
          </w:p>
        </w:tc>
        <w:tc>
          <w:tcPr/>
          <w:p>
            <w:pPr>
              <w:pStyle w:val="Compact"/>
            </w:pPr>
            <w:r>
              <w:t xml:space="preserve">Artaxerxes replies: he has consulted the archives and confirmed Jerusalem’s history of rebellion against great kings; he decrees that the work be stopped until he orders otherwise.</w:t>
            </w:r>
          </w:p>
        </w:tc>
        <w:tc>
          <w:tcPr/>
          <w:p>
            <w:pPr>
              <w:pStyle w:val="Compact"/>
            </w:pPr>
            <w:r>
              <w:t xml:space="preserve">The king’s reply validates the accusers. Archive research confirms historical resistance — but the letter’s framing has shaped the king’s interpretive lens. Truth is used in service of a lie.</w:t>
            </w:r>
          </w:p>
        </w:tc>
      </w:tr>
      <w:tr>
        <w:tc>
          <w:tcPr/>
          <w:p>
            <w:pPr>
              <w:pStyle w:val="Compact"/>
            </w:pPr>
            <w:r>
              <w:t xml:space="preserve">4:21–22</w:t>
            </w:r>
          </w:p>
        </w:tc>
        <w:tc>
          <w:tcPr/>
          <w:p>
            <w:pPr>
              <w:pStyle w:val="Compact"/>
            </w:pPr>
            <w:r>
              <w:t xml:space="preserve">The decree is explicit: make these men cease, that this city be not rebuilt until I command. The urgency is emphasized — do not be negligent in this.</w:t>
            </w:r>
          </w:p>
        </w:tc>
        <w:tc>
          <w:tcPr/>
          <w:p>
            <w:pPr>
              <w:pStyle w:val="Compact"/>
            </w:pPr>
            <w:r>
              <w:t xml:space="preserve">The decree is not permanent —</w:t>
            </w:r>
            <w:r>
              <w:t xml:space="preserve"> </w:t>
            </w:r>
            <w:r>
              <w:t xml:space="preserve">“until I command”</w:t>
            </w:r>
            <w:r>
              <w:t xml:space="preserve"> </w:t>
            </w:r>
            <w:r>
              <w:t xml:space="preserve">leaves an opening, though no one in this moment sees it. The enemy has succeeded in halting the work.</w:t>
            </w:r>
          </w:p>
        </w:tc>
      </w:tr>
      <w:tr>
        <w:tc>
          <w:tcPr/>
          <w:p>
            <w:pPr>
              <w:pStyle w:val="Compact"/>
            </w:pPr>
            <w:r>
              <w:t xml:space="preserve">4:23–24</w:t>
            </w:r>
          </w:p>
        </w:tc>
        <w:tc>
          <w:tcPr/>
          <w:p>
            <w:pPr>
              <w:pStyle w:val="Compact"/>
            </w:pPr>
            <w:r>
              <w:t xml:space="preserve">Rehum and Shimshai go at once to Jerusalem and compel the builders to stop by force. The work ceases. Summary verse: the work on the house of God in Jerusalem stopped, and it remained stopped until the second year of Darius king of Persia.</w:t>
            </w:r>
          </w:p>
        </w:tc>
        <w:tc>
          <w:tcPr/>
          <w:p>
            <w:pPr>
              <w:pStyle w:val="Compact"/>
            </w:pPr>
            <w:r>
              <w:t xml:space="preserve">The chapter ends in a stopped work. The editorial summary pulls back to show the full scope of the gap (back to the temple narrative, not the wall narrative). Resolution is deferred — this is intentional.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4:1–3</w:t>
            </w:r>
          </w:p>
        </w:tc>
        <w:tc>
          <w:tcPr/>
          <w:p>
            <w:pPr>
              <w:pStyle w:val="Compact"/>
            </w:pPr>
            <w:r>
              <w:t xml:space="preserve">The Infiltration Attempt — Feigned Partnership Refused</w:t>
            </w:r>
          </w:p>
        </w:tc>
      </w:tr>
      <w:tr>
        <w:tc>
          <w:tcPr/>
          <w:p>
            <w:pPr>
              <w:pStyle w:val="Compact"/>
            </w:pPr>
            <w:r>
              <w:t xml:space="preserve">2</w:t>
            </w:r>
          </w:p>
        </w:tc>
        <w:tc>
          <w:tcPr/>
          <w:p>
            <w:pPr>
              <w:pStyle w:val="Compact"/>
            </w:pPr>
            <w:r>
              <w:t xml:space="preserve">4:4–5</w:t>
            </w:r>
          </w:p>
        </w:tc>
        <w:tc>
          <w:tcPr/>
          <w:p>
            <w:pPr>
              <w:pStyle w:val="Compact"/>
            </w:pPr>
            <w:r>
              <w:t xml:space="preserve">The Escalation — From Infiltration to Active Opposition</w:t>
            </w:r>
          </w:p>
        </w:tc>
      </w:tr>
      <w:tr>
        <w:tc>
          <w:tcPr/>
          <w:p>
            <w:pPr>
              <w:pStyle w:val="Compact"/>
            </w:pPr>
            <w:r>
              <w:t xml:space="preserve">3</w:t>
            </w:r>
          </w:p>
        </w:tc>
        <w:tc>
          <w:tcPr/>
          <w:p>
            <w:pPr>
              <w:pStyle w:val="Compact"/>
            </w:pPr>
            <w:r>
              <w:t xml:space="preserve">4:6–16</w:t>
            </w:r>
          </w:p>
        </w:tc>
        <w:tc>
          <w:tcPr/>
          <w:p>
            <w:pPr>
              <w:pStyle w:val="Compact"/>
            </w:pPr>
            <w:r>
              <w:t xml:space="preserve">The Pattern Established — Opposition Across Generations (Digression)</w:t>
            </w:r>
          </w:p>
        </w:tc>
      </w:tr>
      <w:tr>
        <w:tc>
          <w:tcPr/>
          <w:p>
            <w:pPr>
              <w:pStyle w:val="Compact"/>
            </w:pPr>
            <w:r>
              <w:t xml:space="preserve">4</w:t>
            </w:r>
          </w:p>
        </w:tc>
        <w:tc>
          <w:tcPr/>
          <w:p>
            <w:pPr>
              <w:pStyle w:val="Compact"/>
            </w:pPr>
            <w:r>
              <w:t xml:space="preserve">4:17–22</w:t>
            </w:r>
          </w:p>
        </w:tc>
        <w:tc>
          <w:tcPr/>
          <w:p>
            <w:pPr>
              <w:pStyle w:val="Compact"/>
            </w:pPr>
            <w:r>
              <w:t xml:space="preserve">The Imperial Decree — Opposition Succeeds Through Official Channels</w:t>
            </w:r>
          </w:p>
        </w:tc>
      </w:tr>
      <w:tr>
        <w:tc>
          <w:tcPr/>
          <w:p>
            <w:pPr>
              <w:pStyle w:val="Compact"/>
            </w:pPr>
            <w:r>
              <w:t xml:space="preserve">5</w:t>
            </w:r>
          </w:p>
        </w:tc>
        <w:tc>
          <w:tcPr/>
          <w:p>
            <w:pPr>
              <w:pStyle w:val="Compact"/>
            </w:pPr>
            <w:r>
              <w:t xml:space="preserve">4:23–24</w:t>
            </w:r>
          </w:p>
        </w:tc>
        <w:tc>
          <w:tcPr/>
          <w:p>
            <w:pPr>
              <w:pStyle w:val="Compact"/>
            </w:pPr>
            <w:r>
              <w:t xml:space="preserve">The Stopped Work — A Season of Suspension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Organized opposition to God’s rebuilding work is real, persistent, and strategically designed to discourage and stop it.</w:t>
      </w:r>
    </w:p>
    <w:p>
      <w:pPr>
        <w:pStyle w:val="BodyText"/>
      </w:pPr>
      <w:r>
        <w:rPr>
          <w:b/>
          <w:bCs/>
        </w:rPr>
        <w:t xml:space="preserve">Primary Claim:</w:t>
      </w:r>
      <w:r>
        <w:t xml:space="preserve"> </w:t>
      </w:r>
      <w:r>
        <w:t xml:space="preserve">God is preparing His people to recognize, refuse, and endure opposition to His work — because the enemy’s strategy has always been to compromise identity first, and when that fails, to frustrate by external force; but neither corruption nor opposition can ultimately cancel what God has commissioned.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Learn to read the pattern before you read the circumstance.</w:t>
      </w:r>
      <w:r>
        <w:t xml:space="preserve"> </w:t>
      </w:r>
      <w:r>
        <w:t xml:space="preserve">Ezra 4 teaches that opposition to God’s work follows a recognizable strategy: first, offer partnership on terms that blur identity; when refused, escalate to discouragement, accusation, and administrative pressure. Believers who do not recognize this pattern will be caught off guard every time and will misread spiritual opposition as mere conflict, relational difficulty, or institutional friction. The exposure of the pattern is itself a mercy — God is not leaving His people to navigate opposition naively. Study the shape of the adversary’s strategy in this chapter so that when it arrives in your own rebuilding work, you name it for what it is before it names you.</w:t>
      </w:r>
    </w:p>
    <w:p>
      <w:pPr>
        <w:pStyle w:val="BodyText"/>
      </w:pPr>
      <w:r>
        <w:rPr>
          <w:b/>
          <w:bCs/>
        </w:rPr>
        <w:t xml:space="preserve">2. [Affections/Worship] — Let the refusal of Zerubbabel produce in you a love for the church’s distinct identity, not resentment at its boundaries.</w:t>
      </w:r>
      <w:r>
        <w:t xml:space="preserve"> </w:t>
      </w:r>
      <w:r>
        <w:t xml:space="preserve">Zerubbabel’s refusal was not tribalism dressed in theological clothing — it was a love for what God was actually building. The returned community existed to be the reconstituted covenant people of God, the vehicle through which the promises made to Abraham would press toward their fulfillment. The boundary was not a wall of contempt but a form of faithfulness. Ask yourself where you have quietly resented the church’s theological distinctives as unnecessarily exclusive, and consider whether that resentment has made you vulnerable to the adversary’s opening offer. Loving the church means loving its Christ-given identity — including the parts of that identity that produce friction with the world.</w:t>
      </w:r>
    </w:p>
    <w:p>
      <w:pPr>
        <w:pStyle w:val="BodyText"/>
      </w:pPr>
      <w:r>
        <w:rPr>
          <w:b/>
          <w:bCs/>
        </w:rPr>
        <w:t xml:space="preserve">3. [Will/Behavior] — When you are in a stopped season, refuse to interpret the stoppage as God’s abandonment.</w:t>
      </w:r>
      <w:r>
        <w:t xml:space="preserve"> </w:t>
      </w:r>
      <w:r>
        <w:t xml:space="preserve">Ezra 4 ends without resolution. The work stops. Fifteen-plus years of silence follow. Believers in their own stopped seasons — a ministry that stalled, a calling that has not opened, a church plant that collapsed, a gospel conversation that ended badly — face the acute temptation to read the stoppage as evidence that God did not really commission the work, or that they misread His call. Ezra 4 will not allow that interpretation. The work was stopped; it was not cancelled. Find at least one person in your life who can hold that distinction with you when you cannot hold it yourself, and practice saying it aloud:</w:t>
      </w:r>
      <w:r>
        <w:t xml:space="preserve"> </w:t>
      </w:r>
      <w:r>
        <w:t xml:space="preserve">“The work is stopped. It is not cancelled.”</w:t>
      </w:r>
    </w:p>
    <w:p>
      <w:pPr>
        <w:pStyle w:val="BodyText"/>
      </w:pPr>
      <w:r>
        <w:rPr>
          <w:b/>
          <w:bCs/>
        </w:rPr>
        <w:t xml:space="preserve">4. [Mind/Belief] — Recognize that the enemy uses true facts in service of false conclusions.</w:t>
      </w:r>
      <w:r>
        <w:t xml:space="preserve"> </w:t>
      </w:r>
      <w:r>
        <w:t xml:space="preserve">The letter to Artaxerxes in verses 11–16 does not lie about Jerusalem’s history. Jerusalem had rebelled. The archives confirmed it. What the letter does is use true historical data in a frame designed to produce a false verdict about God’s present purposes. This is one of the adversary’s most effective tactics — and one of the most disorienting for believers, because it is not easily answered with a simple denial. The response to this tactic is not to contest the true facts but to contest the interpretive frame. Train yourself to ask, when true things are being assembled against God’s work:</w:t>
      </w:r>
      <w:r>
        <w:t xml:space="preserve"> </w:t>
      </w:r>
      <w:r>
        <w:t xml:space="preserve">“What frame is being built with these facts, and does that frame account for what God has said?”</w:t>
      </w:r>
    </w:p>
    <w:p>
      <w:pPr>
        <w:pStyle w:val="BodyText"/>
      </w:pPr>
      <w:r>
        <w:rPr>
          <w:b/>
          <w:bCs/>
        </w:rPr>
        <w:t xml:space="preserve">5. [Affections/Worship] — Bring your discouragement to God rather than rehearsing it among yourselves.</w:t>
      </w:r>
      <w:r>
        <w:t xml:space="preserve"> </w:t>
      </w:r>
      <w:r>
        <w:t xml:space="preserve">Verse 4 describes the adversaries</w:t>
      </w:r>
      <w:r>
        <w:t xml:space="preserve"> </w:t>
      </w:r>
      <w:r>
        <w:t xml:space="preserve">“weakening the hands”</w:t>
      </w:r>
      <w:r>
        <w:t xml:space="preserve"> </w:t>
      </w:r>
      <w:r>
        <w:t xml:space="preserve">of the builders — a deliberate assault on morale. The Ezra narrative does not record that the community brought this discouragement to God in prayer; what follows instead is a long silence. The contrast with Nehemiah 4 is instructive: when Nehemiah’s workers faced the same discouragement strategy, they prayed and posted a watch. Ezra 4 presents the failure mode; Nehemiah 4 presents the faithful response. Let the unresolved ending of Ezra 4 drive you to the kind of prayer that Nehemiah 4 models — not because prayer makes the opposition disappear, but because God is the only one who can hold the weight of a stopped work without being crushed by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Ezra 4 teaches that opposition to God’s redemptive work is not incidental but structural — it is embedded in the nature of what God is doing and in the enmity of those who resist it. The chapter reveals that God permits the temporary halting of His work without abandoning His ultimate purpose, and that the gap between commission and completion is not evidence of divine indifference but of the real spiritual contest in which God’s people are engaged. Theologically, the chapter holds together two truths that are difficult to hold together: God’s purposes are irresistible in the end, and the work genuinely stops in the middle. This is not a contradiction — it is the shape of redemptive history, in which God accomplishes His purposes through and not around the suffering of His people. The character of God displayed here is not raw omnipotence overriding all resistance but patient sovereignty that allows the story to develop through real conflict, real discouragement, and real delay.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Ezra 4 is a crucial passage for the Reformed understanding of the church’s relationship to the world, the nature of spiritual opposition, and the doctrine of perseverance. The refusal of Zerubbabel illustrates the Reformed conviction that the covenant community cannot be constituted by voluntary religious affiliation or by broadly spiritual impulse — it is defined by God’s covenantal commission, and its integrity must be maintained even at the cost of social peace. The chapter also speaks directly to the Reformed understanding of providence: the stopped work is not outside God’s governance but within it, and the years of silence are not a gap in God’s attention but a season within His purpose. Most significantly, the editorial structure of the chapter — placing the Artaxerxes material within the Darius-era narrative — reflects a canonical instinct that is fundamentally Reformed in character: Scripture is not merely historical chronicle but theological interpretation of history, and the shape of the narrative itself is making a claim about God’s sovereign control over the pattern of human opposition to His purposes.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enemy never stops working, and the work sometimes stops — but a stopped season is not a defeated purpose. God commissioned this work, God is aware of the opposition, and God will resume what He has not abandoned. The question Ezra 4 presses on every believer is not</w:t>
      </w:r>
      <w:r>
        <w:t xml:space="preserve"> </w:t>
      </w:r>
      <w:r>
        <w:t xml:space="preserve">“Will God finish what He started?”</w:t>
      </w:r>
      <w:r>
        <w:t xml:space="preserve"> </w:t>
      </w:r>
      <w:r>
        <w:t xml:space="preserve">but</w:t>
      </w:r>
      <w:r>
        <w:t xml:space="preserve"> </w:t>
      </w:r>
      <w:r>
        <w:t xml:space="preserve">“Will you refuse the enemy’s first offer — the offer to blur your identity in the name of partnership — so that when the work resumes, you are still recognizably what God called you to be?”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merely historical background rather than pastoral instruction.</w:t>
      </w:r>
      <w:r>
        <w:t xml:space="preserve"> </w:t>
      </w:r>
      <w:r>
        <w:t xml:space="preserve">The most common failure in preaching Ezra 4 is to spend the bulk of the sermon explaining Persian administrative history, the identity of the Samaritans, or the chronological puzzle of vv. 6–23, and to leave the congregation with a well-informed but unaffected understanding of post-exilic politics. The historical material is load-bearing — but it is load-bearing</w:t>
      </w:r>
      <w:r>
        <w:t xml:space="preserve"> </w:t>
      </w:r>
      <w:r>
        <w:rPr>
          <w:i/>
          <w:iCs/>
        </w:rPr>
        <w:t xml:space="preserve">for</w:t>
      </w:r>
      <w:r>
        <w:t xml:space="preserve"> </w:t>
      </w:r>
      <w:r>
        <w:t xml:space="preserve">a pastoral and theological claim. The chronological digression is not a problem to be explained away; it is a theological move to be preached. Keep the history in service of the claim, not as an end in itself.</w:t>
      </w:r>
    </w:p>
    <w:p>
      <w:pPr>
        <w:numPr>
          <w:ilvl w:val="0"/>
          <w:numId w:val="1002"/>
        </w:numPr>
      </w:pPr>
      <w:r>
        <w:rPr>
          <w:b/>
          <w:bCs/>
        </w:rPr>
        <w:t xml:space="preserve">Resolving the chapter’s tension too quickly by importing the victory of chapters 5–6.</w:t>
      </w:r>
      <w:r>
        <w:t xml:space="preserve"> </w:t>
      </w:r>
      <w:r>
        <w:t xml:space="preserve">Ezra 4 ends in a stopped work. It is pastorally dishonest and homiletically irresponsible to preach the resolution before the congregation has sat in the suspension. Many believers are in their own chapter 4 moments — the ministry has stalled, the prayer is unanswered, the work has stopped. They need permission to live in that space faithfully, not a premature assurance that everything is fine. Preach the chapter’s ending before you gesture toward the book’s ending.</w:t>
      </w:r>
    </w:p>
    <w:p>
      <w:pPr>
        <w:numPr>
          <w:ilvl w:val="0"/>
          <w:numId w:val="1002"/>
        </w:numPr>
      </w:pPr>
      <w:r>
        <w:rPr>
          <w:b/>
          <w:bCs/>
        </w:rPr>
        <w:t xml:space="preserve">Moralizing Zerubbabel’s refusal into a general principle of separation from unbelievers.</w:t>
      </w:r>
      <w:r>
        <w:t xml:space="preserve"> </w:t>
      </w:r>
      <w:r>
        <w:t xml:space="preserve">The refusal in verse 3 was grounded in a specific covenantal commission at a specific redemptive-historical moment, not in a general principle that God’s people should refuse all cooperation with outsiders. Preaching it as a blanket warrant for Christian separatism misreads the text’s own grounding. The refusal was about who has the right to constitute the covenant community — not a statement about every form of engagement with the surrounding world.</w:t>
      </w:r>
    </w:p>
    <w:p>
      <w:pPr>
        <w:numPr>
          <w:ilvl w:val="0"/>
          <w:numId w:val="1002"/>
        </w:numPr>
      </w:pPr>
      <w:r>
        <w:rPr>
          <w:b/>
          <w:bCs/>
        </w:rPr>
        <w:t xml:space="preserve">Preaching the adversaries as simply</w:t>
      </w:r>
      <w:r>
        <w:rPr>
          <w:b/>
          <w:bCs/>
        </w:rPr>
        <w:t xml:space="preserve"> </w:t>
      </w:r>
      <w:r>
        <w:rPr>
          <w:b/>
          <w:bCs/>
        </w:rPr>
        <w:t xml:space="preserve">“bad people”</w:t>
      </w:r>
      <w:r>
        <w:rPr>
          <w:b/>
          <w:bCs/>
        </w:rPr>
        <w:t xml:space="preserve"> </w:t>
      </w:r>
      <w:r>
        <w:rPr>
          <w:b/>
          <w:bCs/>
        </w:rPr>
        <w:t xml:space="preserve">rather than as a strategic system.</w:t>
      </w:r>
      <w:r>
        <w:t xml:space="preserve"> </w:t>
      </w:r>
      <w:r>
        <w:t xml:space="preserve">The power of the chapter lies in the</w:t>
      </w:r>
      <w:r>
        <w:t xml:space="preserve"> </w:t>
      </w:r>
      <w:r>
        <w:rPr>
          <w:i/>
          <w:iCs/>
        </w:rPr>
        <w:t xml:space="preserve">pattern</w:t>
      </w:r>
      <w:r>
        <w:t xml:space="preserve"> </w:t>
      </w:r>
      <w:r>
        <w:t xml:space="preserve">the adversaries employ: feigned cooperation → active discouragement → formal accusation → imperial decree. This is a system, not a collection of bad individuals. Preaching it as</w:t>
      </w:r>
      <w:r>
        <w:t xml:space="preserve"> </w:t>
      </w:r>
      <w:r>
        <w:t xml:space="preserve">“bad people did bad things”</w:t>
      </w:r>
      <w:r>
        <w:t xml:space="preserve"> </w:t>
      </w:r>
      <w:r>
        <w:t xml:space="preserve">reduces the text to a morality tale and strips it of its pastoral power to help believers recognize the same system operating in their own contexts. Name the strategy, not just the actors.</w:t>
      </w:r>
    </w:p>
    <w:p>
      <w:pPr>
        <w:numPr>
          <w:ilvl w:val="0"/>
          <w:numId w:val="1002"/>
        </w:numPr>
      </w:pPr>
      <w:r>
        <w:rPr>
          <w:b/>
          <w:bCs/>
        </w:rPr>
        <w:t xml:space="preserve">Ignoring the Aramaic digression as an editorial mistake.</w:t>
      </w:r>
      <w:r>
        <w:t xml:space="preserve"> </w:t>
      </w:r>
      <w:r>
        <w:t xml:space="preserve">Some preachers, aware of the scholarly debate about vv. 6–23, either skip the section or apologize for it. Neither is warranted. The switch to Aramaic is intentional — it is the language of imperial correspondence, and it signals that the reader is now being shown the official mechanics of opposition. The digression is the chapter’s most theologically sophisticated move, and preaching it as accidental or confusing will cause the congregation to miss the text’s own argument about the</w:t>
      </w:r>
      <w:r>
        <w:t xml:space="preserve"> </w:t>
      </w:r>
      <w:r>
        <w:rPr>
          <w:i/>
          <w:iCs/>
        </w:rPr>
        <w:t xml:space="preserve">recurring pattern</w:t>
      </w:r>
      <w:r>
        <w:t xml:space="preserve"> </w:t>
      </w:r>
      <w:r>
        <w:t xml:space="preserve">of opposition across generations.</w:t>
      </w:r>
    </w:p>
    <w:p>
      <w:pPr>
        <w:numPr>
          <w:ilvl w:val="0"/>
          <w:numId w:val="1002"/>
        </w:numPr>
      </w:pPr>
      <w:r>
        <w:rPr>
          <w:b/>
          <w:bCs/>
        </w:rPr>
        <w:t xml:space="preserve">Failing to connect the stopped work to prayer.</w:t>
      </w:r>
      <w:r>
        <w:t xml:space="preserve"> </w:t>
      </w:r>
      <w:r>
        <w:t xml:space="preserve">The chapter presents a failure mode — discouragement absorbed without response, opposition endured without recourse to God. A faithful exposition will name this absence without manufacturing a criticism of the characters, and will use it to drive the congregation toward the prayerful, watchful posture that Nehemiah 4 and Acts 4 model as the faithful response to the same pattern of opposition. The absence of prayer in Ezra 4 is not an embarrassment to be explained — it is a pastoral invitation to ask:</w:t>
      </w:r>
      <w:r>
        <w:t xml:space="preserve"> </w:t>
      </w:r>
      <w:r>
        <w:t xml:space="preserve">“When your hands are weakened, where do you carry the weight?”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2026-07-14T21:03:39Z</dcterms:created>
  <dcterms:modified xsi:type="dcterms:W3CDTF">2026-07-14T21:03:39Z</dcterms:modified>
</cp:coreProperties>
</file>

<file path=docProps/custom.xml><?xml version="1.0" encoding="utf-8"?>
<Properties xmlns="http://schemas.openxmlformats.org/officeDocument/2006/custom-properties" xmlns:vt="http://schemas.openxmlformats.org/officeDocument/2006/docPropsVTypes"/>
</file>